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EA54" w14:textId="53591747" w:rsidR="00B17951" w:rsidRDefault="00B17951" w:rsidP="00AC10CF">
      <w:pPr>
        <w:ind w:firstLine="720"/>
        <w:jc w:val="both"/>
        <w:rPr>
          <w:rFonts w:cstheme="minorHAnsi"/>
        </w:rPr>
      </w:pPr>
      <w:bookmarkStart w:id="0" w:name="_GoBack"/>
      <w:r>
        <w:rPr>
          <w:noProof/>
          <w:lang w:eastAsia="it-IT"/>
        </w:rPr>
        <w:drawing>
          <wp:anchor distT="0" distB="0" distL="114300" distR="114300" simplePos="0" relativeHeight="251659264" behindDoc="1" locked="0" layoutInCell="1" allowOverlap="1" wp14:anchorId="1BDEDB7B" wp14:editId="4A43A7D2">
            <wp:simplePos x="0" y="0"/>
            <wp:positionH relativeFrom="column">
              <wp:posOffset>2152273</wp:posOffset>
            </wp:positionH>
            <wp:positionV relativeFrom="paragraph">
              <wp:posOffset>-920750</wp:posOffset>
            </wp:positionV>
            <wp:extent cx="1430039" cy="1423636"/>
            <wp:effectExtent l="0" t="0" r="5080" b="0"/>
            <wp:wrapNone/>
            <wp:docPr id="1" name="Immagine 1" descr="C:\Users\mstecnico01\Desktop\logo-park-gi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ecnico01\Desktop\logo-park-giroc.png"/>
                    <pic:cNvPicPr>
                      <a:picLocks noChangeAspect="1" noChangeArrowheads="1"/>
                    </pic:cNvPicPr>
                  </pic:nvPicPr>
                  <pic:blipFill>
                    <a:blip r:embed="rId5"/>
                    <a:srcRect/>
                    <a:stretch>
                      <a:fillRect/>
                    </a:stretch>
                  </pic:blipFill>
                  <pic:spPr bwMode="auto">
                    <a:xfrm>
                      <a:off x="0" y="0"/>
                      <a:ext cx="1430039" cy="14236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09943086" w14:textId="77777777" w:rsidR="00B17951" w:rsidRDefault="00B17951" w:rsidP="00AC10CF">
      <w:pPr>
        <w:ind w:firstLine="720"/>
        <w:jc w:val="both"/>
        <w:rPr>
          <w:rFonts w:cstheme="minorHAnsi"/>
        </w:rPr>
      </w:pPr>
    </w:p>
    <w:p w14:paraId="6F59C99D" w14:textId="6D1FE4E5" w:rsidR="00C2464D" w:rsidRDefault="00C2464D" w:rsidP="00AC10CF">
      <w:pPr>
        <w:ind w:firstLine="360"/>
        <w:jc w:val="both"/>
        <w:rPr>
          <w:rFonts w:cstheme="minorHAnsi"/>
        </w:rPr>
      </w:pPr>
      <w:r w:rsidRPr="00F7138A">
        <w:rPr>
          <w:rFonts w:cstheme="minorHAnsi"/>
        </w:rPr>
        <w:t>Ansamblul rezidențial</w:t>
      </w:r>
      <w:r w:rsidR="00B17951">
        <w:rPr>
          <w:rFonts w:cstheme="minorHAnsi"/>
        </w:rPr>
        <w:t xml:space="preserve"> </w:t>
      </w:r>
      <w:r w:rsidR="00B17951" w:rsidRPr="00B17951">
        <w:rPr>
          <w:rFonts w:cstheme="minorHAnsi"/>
          <w:b/>
        </w:rPr>
        <w:t>PARK GIROC</w:t>
      </w:r>
      <w:r w:rsidRPr="00F7138A">
        <w:rPr>
          <w:rFonts w:cstheme="minorHAnsi"/>
        </w:rPr>
        <w:t xml:space="preserve"> </w:t>
      </w:r>
      <w:r w:rsidR="00B17951">
        <w:rPr>
          <w:rFonts w:cstheme="minorHAnsi"/>
        </w:rPr>
        <w:t xml:space="preserve">este </w:t>
      </w:r>
      <w:r>
        <w:rPr>
          <w:rFonts w:cstheme="minorHAnsi"/>
        </w:rPr>
        <w:t>situat</w:t>
      </w:r>
      <w:r w:rsidRPr="00F7138A">
        <w:rPr>
          <w:rFonts w:cstheme="minorHAnsi"/>
        </w:rPr>
        <w:t xml:space="preserve"> în localitatea Giroc</w:t>
      </w:r>
      <w:r>
        <w:rPr>
          <w:rFonts w:cstheme="minorHAnsi"/>
        </w:rPr>
        <w:t>,</w:t>
      </w:r>
      <w:r w:rsidRPr="00F7138A">
        <w:rPr>
          <w:rFonts w:cstheme="minorHAnsi"/>
        </w:rPr>
        <w:t xml:space="preserve"> la capătul actualei străzi Neptun, este amplasat foarte aproape de periferia orașului Timișoara, într-un nou cartier rezidențial în curs de extindere.</w:t>
      </w:r>
    </w:p>
    <w:p w14:paraId="333E3C18" w14:textId="08788CF9" w:rsidR="006F32F0" w:rsidRDefault="006F32F0" w:rsidP="00AC10CF">
      <w:pPr>
        <w:ind w:firstLine="360"/>
        <w:jc w:val="both"/>
        <w:rPr>
          <w:rFonts w:cstheme="minorHAnsi"/>
        </w:rPr>
      </w:pPr>
      <w:r w:rsidRPr="00F7138A">
        <w:rPr>
          <w:rFonts w:cstheme="minorHAnsi"/>
        </w:rPr>
        <w:t xml:space="preserve">Clădirea </w:t>
      </w:r>
      <w:r w:rsidR="00D70664">
        <w:rPr>
          <w:rFonts w:cstheme="minorHAnsi"/>
        </w:rPr>
        <w:t>este formata</w:t>
      </w:r>
      <w:r w:rsidRPr="00F7138A">
        <w:rPr>
          <w:rFonts w:cstheme="minorHAnsi"/>
        </w:rPr>
        <w:t xml:space="preserve"> </w:t>
      </w:r>
      <w:r w:rsidR="00D70664">
        <w:rPr>
          <w:rFonts w:cstheme="minorHAnsi"/>
        </w:rPr>
        <w:t>din</w:t>
      </w:r>
      <w:r>
        <w:rPr>
          <w:rFonts w:cstheme="minorHAnsi"/>
        </w:rPr>
        <w:t xml:space="preserve"> parter</w:t>
      </w:r>
      <w:r w:rsidR="00204108">
        <w:rPr>
          <w:rFonts w:cstheme="minorHAnsi"/>
        </w:rPr>
        <w:t xml:space="preserve">, </w:t>
      </w:r>
      <w:r>
        <w:rPr>
          <w:rFonts w:cstheme="minorHAnsi"/>
        </w:rPr>
        <w:t>5</w:t>
      </w:r>
      <w:r w:rsidRPr="00F7138A">
        <w:rPr>
          <w:rFonts w:cstheme="minorHAnsi"/>
        </w:rPr>
        <w:t xml:space="preserve"> </w:t>
      </w:r>
      <w:proofErr w:type="spellStart"/>
      <w:r w:rsidRPr="00F7138A">
        <w:rPr>
          <w:rFonts w:cstheme="minorHAnsi"/>
        </w:rPr>
        <w:t>etaje</w:t>
      </w:r>
      <w:r w:rsidR="00204108">
        <w:rPr>
          <w:rFonts w:cstheme="minorHAnsi"/>
        </w:rPr>
        <w:t>+E</w:t>
      </w:r>
      <w:r w:rsidR="00D70664">
        <w:rPr>
          <w:rFonts w:cstheme="minorHAnsi"/>
        </w:rPr>
        <w:t>R</w:t>
      </w:r>
      <w:proofErr w:type="spellEnd"/>
      <w:r w:rsidR="00D70664">
        <w:rPr>
          <w:rFonts w:cstheme="minorHAnsi"/>
        </w:rPr>
        <w:t xml:space="preserve">, </w:t>
      </w:r>
      <w:r w:rsidR="00204108">
        <w:rPr>
          <w:rFonts w:cstheme="minorHAnsi"/>
        </w:rPr>
        <w:t>cu lift</w:t>
      </w:r>
      <w:r w:rsidR="008703AB">
        <w:rPr>
          <w:rFonts w:cstheme="minorHAnsi"/>
        </w:rPr>
        <w:t xml:space="preserve">, apartamente cu 2 camere, </w:t>
      </w:r>
      <w:proofErr w:type="spellStart"/>
      <w:r w:rsidR="008703AB">
        <w:rPr>
          <w:rFonts w:cstheme="minorHAnsi"/>
        </w:rPr>
        <w:t>suprafata</w:t>
      </w:r>
      <w:proofErr w:type="spellEnd"/>
      <w:r w:rsidR="008703AB">
        <w:rPr>
          <w:rFonts w:cstheme="minorHAnsi"/>
        </w:rPr>
        <w:t xml:space="preserve"> intre </w:t>
      </w:r>
      <w:r w:rsidR="001B286B">
        <w:rPr>
          <w:rFonts w:cstheme="minorHAnsi"/>
        </w:rPr>
        <w:t>49</w:t>
      </w:r>
      <w:r w:rsidR="00E279C3">
        <w:rPr>
          <w:rFonts w:cstheme="minorHAnsi"/>
        </w:rPr>
        <w:t>,58</w:t>
      </w:r>
      <w:r w:rsidR="001B286B">
        <w:rPr>
          <w:rFonts w:cstheme="minorHAnsi"/>
        </w:rPr>
        <w:t xml:space="preserve"> si 55</w:t>
      </w:r>
      <w:r w:rsidR="00E279C3">
        <w:rPr>
          <w:rFonts w:cstheme="minorHAnsi"/>
        </w:rPr>
        <w:t xml:space="preserve">,58 </w:t>
      </w:r>
      <w:r w:rsidR="008703AB">
        <w:rPr>
          <w:rFonts w:cstheme="minorHAnsi"/>
        </w:rPr>
        <w:t>mp</w:t>
      </w:r>
      <w:r w:rsidR="00E279C3">
        <w:rPr>
          <w:rFonts w:cstheme="minorHAnsi"/>
        </w:rPr>
        <w:t xml:space="preserve">, preturi intre 49950 si 55450 euro, cu un loc de parcare suprateran inclus in </w:t>
      </w:r>
      <w:proofErr w:type="spellStart"/>
      <w:r w:rsidR="00E279C3">
        <w:rPr>
          <w:rFonts w:cstheme="minorHAnsi"/>
        </w:rPr>
        <w:t>pret</w:t>
      </w:r>
      <w:proofErr w:type="spellEnd"/>
      <w:r w:rsidR="00204108">
        <w:rPr>
          <w:rFonts w:cstheme="minorHAnsi"/>
        </w:rPr>
        <w:t>.</w:t>
      </w:r>
    </w:p>
    <w:p w14:paraId="34D5BA8E" w14:textId="77777777" w:rsidR="004F512C" w:rsidRPr="004F512C" w:rsidRDefault="004F512C" w:rsidP="00AC10CF">
      <w:pPr>
        <w:pStyle w:val="ListParagraph"/>
        <w:numPr>
          <w:ilvl w:val="0"/>
          <w:numId w:val="1"/>
        </w:numPr>
        <w:jc w:val="both"/>
        <w:rPr>
          <w:rFonts w:cstheme="minorHAnsi"/>
        </w:rPr>
      </w:pPr>
      <w:r w:rsidRPr="004F512C">
        <w:rPr>
          <w:rFonts w:cstheme="minorHAnsi"/>
        </w:rPr>
        <w:t xml:space="preserve">Pereții interiori de compartimentare a locuințelor sunt realizați din cărămidă tencuită cu o grosime finisată de minim 10 cm; pereții despărțitori dintre apartamente sunt realizați din cărămidă alveolară tencuită cu o grosime finisată de minim 25 cm .  </w:t>
      </w:r>
    </w:p>
    <w:p w14:paraId="3E8E925C" w14:textId="6F65904C" w:rsidR="004856D4" w:rsidRPr="004856D4" w:rsidRDefault="004856D4" w:rsidP="00AC10CF">
      <w:pPr>
        <w:pStyle w:val="ListParagraph"/>
        <w:numPr>
          <w:ilvl w:val="0"/>
          <w:numId w:val="1"/>
        </w:numPr>
        <w:jc w:val="both"/>
        <w:rPr>
          <w:rFonts w:cstheme="minorHAnsi"/>
        </w:rPr>
      </w:pPr>
      <w:r w:rsidRPr="004856D4">
        <w:rPr>
          <w:rFonts w:cstheme="minorHAnsi"/>
        </w:rPr>
        <w:t xml:space="preserve">Pardoseala camerei de zi și a dormitoarelor sunt realizate în </w:t>
      </w:r>
      <w:r w:rsidR="00204108">
        <w:rPr>
          <w:rFonts w:cstheme="minorHAnsi"/>
        </w:rPr>
        <w:t xml:space="preserve">parchet </w:t>
      </w:r>
      <w:r w:rsidR="00D70664">
        <w:rPr>
          <w:rFonts w:cstheme="minorHAnsi"/>
        </w:rPr>
        <w:t>laminat.</w:t>
      </w:r>
      <w:r w:rsidRPr="004856D4">
        <w:rPr>
          <w:rFonts w:cstheme="minorHAnsi"/>
        </w:rPr>
        <w:t xml:space="preserve">  </w:t>
      </w:r>
    </w:p>
    <w:p w14:paraId="7E91A89D" w14:textId="1694C4CE" w:rsidR="004856D4" w:rsidRPr="004856D4" w:rsidRDefault="004856D4" w:rsidP="00AC10CF">
      <w:pPr>
        <w:pStyle w:val="ListParagraph"/>
        <w:numPr>
          <w:ilvl w:val="0"/>
          <w:numId w:val="1"/>
        </w:numPr>
        <w:jc w:val="both"/>
        <w:rPr>
          <w:rFonts w:cstheme="minorHAnsi"/>
        </w:rPr>
      </w:pPr>
      <w:r w:rsidRPr="004856D4">
        <w:rPr>
          <w:rFonts w:cstheme="minorHAnsi"/>
        </w:rPr>
        <w:t>Pardoseala băilor este în ceramică cu o singură coacere tip OPERA GROUP, format 20x50 cm</w:t>
      </w:r>
      <w:r w:rsidR="00D70664">
        <w:rPr>
          <w:rFonts w:cstheme="minorHAnsi"/>
        </w:rPr>
        <w:t xml:space="preserve"> (3 variante disponibile)</w:t>
      </w:r>
      <w:r w:rsidRPr="004856D4">
        <w:rPr>
          <w:rFonts w:cstheme="minorHAnsi"/>
        </w:rPr>
        <w:t xml:space="preserve">.  </w:t>
      </w:r>
    </w:p>
    <w:p w14:paraId="625F19B4" w14:textId="714AABA5" w:rsidR="00362685" w:rsidRPr="00362685" w:rsidRDefault="00362685" w:rsidP="00AC10CF">
      <w:pPr>
        <w:pStyle w:val="ListParagraph"/>
        <w:numPr>
          <w:ilvl w:val="0"/>
          <w:numId w:val="1"/>
        </w:numPr>
        <w:jc w:val="both"/>
        <w:rPr>
          <w:rFonts w:cstheme="minorHAnsi"/>
        </w:rPr>
      </w:pPr>
      <w:r w:rsidRPr="00362685">
        <w:rPr>
          <w:rFonts w:cstheme="minorHAnsi"/>
        </w:rPr>
        <w:t xml:space="preserve">Băile și bucătăriile sunt placate cu plăci de ceramică cu o singură coacere de dimensiuni 20x50 cm., tip OPERA GROUP.  </w:t>
      </w:r>
    </w:p>
    <w:p w14:paraId="47D3C252" w14:textId="101C85AC" w:rsidR="00193EC9" w:rsidRPr="00193EC9" w:rsidRDefault="00193EC9" w:rsidP="00AC10CF">
      <w:pPr>
        <w:pStyle w:val="ListParagraph"/>
        <w:numPr>
          <w:ilvl w:val="0"/>
          <w:numId w:val="1"/>
        </w:numPr>
        <w:jc w:val="both"/>
        <w:rPr>
          <w:rFonts w:cstheme="minorHAnsi"/>
        </w:rPr>
      </w:pPr>
      <w:r w:rsidRPr="00193EC9">
        <w:rPr>
          <w:rFonts w:cstheme="minorHAnsi"/>
        </w:rPr>
        <w:t xml:space="preserve">Ușile de intrare în apartamente sunt de tip antiefracție clasa 2, cu inserție din foaie de metal, broască pentru siguranță, zăvoare antiefracție și toc unghiular din tablă de oțel zincat cu grosime de 1,2 mm. </w:t>
      </w:r>
    </w:p>
    <w:p w14:paraId="5D65D446" w14:textId="23343CF2" w:rsidR="001926CD" w:rsidRPr="007A02AD" w:rsidRDefault="00193EC9" w:rsidP="00AC10CF">
      <w:pPr>
        <w:pStyle w:val="ListParagraph"/>
        <w:numPr>
          <w:ilvl w:val="0"/>
          <w:numId w:val="1"/>
        </w:numPr>
        <w:jc w:val="both"/>
      </w:pPr>
      <w:r w:rsidRPr="00193EC9">
        <w:rPr>
          <w:rFonts w:cstheme="minorHAnsi"/>
        </w:rPr>
        <w:t xml:space="preserve">Ușile interioare ale apartamentelor sunt prevăzute cu miez tip fagure de albine stabilizant, netransparente, cu o grosime de 45 mm, cu mânere din oțel, crom satinat sau bronz, și broască.  </w:t>
      </w:r>
    </w:p>
    <w:p w14:paraId="2AEF0BBB" w14:textId="77777777" w:rsidR="00D70664" w:rsidRDefault="00D70664" w:rsidP="00AC10CF">
      <w:pPr>
        <w:pStyle w:val="ListParagraph"/>
        <w:numPr>
          <w:ilvl w:val="0"/>
          <w:numId w:val="1"/>
        </w:numPr>
        <w:ind w:left="-5"/>
        <w:jc w:val="both"/>
        <w:rPr>
          <w:rFonts w:cstheme="minorHAnsi"/>
        </w:rPr>
      </w:pPr>
      <w:r w:rsidRPr="00D70664">
        <w:rPr>
          <w:rFonts w:cstheme="minorHAnsi"/>
        </w:rPr>
        <w:t xml:space="preserve">Apartamentele </w:t>
      </w:r>
      <w:r w:rsidR="007A02AD" w:rsidRPr="00D70664">
        <w:rPr>
          <w:rFonts w:cstheme="minorHAnsi"/>
        </w:rPr>
        <w:t xml:space="preserve">sunt încălzite cu un sistem în pardoseală radiantă format din țevi din material plastic, introduse în șapa de susținere a pardoselilor, prin care curge un lichid vector (apă) încălzit la temperatura controlată. </w:t>
      </w:r>
    </w:p>
    <w:p w14:paraId="474AF34C" w14:textId="4513FD73" w:rsidR="00197BAC" w:rsidRPr="00D70664" w:rsidRDefault="00197BAC" w:rsidP="00AC10CF">
      <w:pPr>
        <w:pStyle w:val="ListParagraph"/>
        <w:numPr>
          <w:ilvl w:val="0"/>
          <w:numId w:val="1"/>
        </w:numPr>
        <w:ind w:left="-5"/>
        <w:jc w:val="both"/>
        <w:rPr>
          <w:rFonts w:cstheme="minorHAnsi"/>
        </w:rPr>
      </w:pPr>
      <w:r w:rsidRPr="00D70664">
        <w:rPr>
          <w:rFonts w:cstheme="minorHAnsi"/>
        </w:rPr>
        <w:t xml:space="preserve">Dispozitivele sanitare și sistemele de alimentare și scurgere sunt următoarele: </w:t>
      </w:r>
    </w:p>
    <w:p w14:paraId="70B1B1F0" w14:textId="6C04321B" w:rsidR="00AC10CF" w:rsidRPr="00265ACB" w:rsidRDefault="00197BAC" w:rsidP="00AC10CF">
      <w:pPr>
        <w:ind w:left="-5"/>
        <w:jc w:val="both"/>
        <w:rPr>
          <w:rFonts w:cstheme="minorHAnsi"/>
          <w:u w:val="single" w:color="000000"/>
        </w:rPr>
      </w:pPr>
      <w:r w:rsidRPr="00265ACB">
        <w:rPr>
          <w:rFonts w:cstheme="minorHAnsi"/>
          <w:u w:val="single" w:color="000000"/>
        </w:rPr>
        <w:t>Băi:</w:t>
      </w:r>
    </w:p>
    <w:p w14:paraId="26909497" w14:textId="2FA1CE71" w:rsidR="00197BAC" w:rsidRPr="00BB759E" w:rsidRDefault="00197BAC" w:rsidP="00AC10CF">
      <w:pPr>
        <w:pStyle w:val="ListParagraph"/>
        <w:numPr>
          <w:ilvl w:val="0"/>
          <w:numId w:val="2"/>
        </w:numPr>
        <w:jc w:val="both"/>
        <w:rPr>
          <w:rFonts w:cstheme="minorHAnsi"/>
        </w:rPr>
      </w:pPr>
      <w:r w:rsidRPr="00BB759E">
        <w:rPr>
          <w:rFonts w:cstheme="minorHAnsi"/>
        </w:rPr>
        <w:t xml:space="preserve">chiuvetă din ceramică cu jumătate de picior; </w:t>
      </w:r>
    </w:p>
    <w:p w14:paraId="13A13A5A" w14:textId="72F54FAA" w:rsidR="00197BAC" w:rsidRPr="00BB759E" w:rsidRDefault="00197BAC" w:rsidP="00AC10CF">
      <w:pPr>
        <w:pStyle w:val="ListParagraph"/>
        <w:numPr>
          <w:ilvl w:val="0"/>
          <w:numId w:val="2"/>
        </w:numPr>
        <w:tabs>
          <w:tab w:val="center" w:pos="388"/>
          <w:tab w:val="center" w:pos="3199"/>
        </w:tabs>
        <w:jc w:val="both"/>
        <w:rPr>
          <w:rFonts w:cstheme="minorHAnsi"/>
        </w:rPr>
      </w:pPr>
      <w:r w:rsidRPr="00BB759E">
        <w:rPr>
          <w:rFonts w:cstheme="minorHAnsi"/>
        </w:rPr>
        <w:t xml:space="preserve">dulăpior sub chiuvetă cu două uși;  </w:t>
      </w:r>
    </w:p>
    <w:p w14:paraId="2B484BD7" w14:textId="66A4B90A" w:rsidR="00197BAC" w:rsidRPr="00BB759E" w:rsidRDefault="00197BAC" w:rsidP="00AC10CF">
      <w:pPr>
        <w:pStyle w:val="ListParagraph"/>
        <w:numPr>
          <w:ilvl w:val="0"/>
          <w:numId w:val="2"/>
        </w:numPr>
        <w:jc w:val="both"/>
        <w:rPr>
          <w:rFonts w:cstheme="minorHAnsi"/>
        </w:rPr>
      </w:pPr>
      <w:r w:rsidRPr="00BB759E">
        <w:rPr>
          <w:rFonts w:cstheme="minorHAnsi"/>
        </w:rPr>
        <w:t xml:space="preserve">vas suspendat din ceramică cu scurgere prin perete, rezervor cu încastrare cu două butoane; </w:t>
      </w:r>
    </w:p>
    <w:p w14:paraId="0F9232FA" w14:textId="7C0F9AEC" w:rsidR="00197BAC" w:rsidRPr="00BB759E" w:rsidRDefault="00197BAC" w:rsidP="00AC10CF">
      <w:pPr>
        <w:pStyle w:val="ListParagraph"/>
        <w:numPr>
          <w:ilvl w:val="0"/>
          <w:numId w:val="2"/>
        </w:numPr>
        <w:jc w:val="both"/>
        <w:rPr>
          <w:rFonts w:cstheme="minorHAnsi"/>
        </w:rPr>
      </w:pPr>
      <w:proofErr w:type="spellStart"/>
      <w:r w:rsidRPr="00BB759E">
        <w:rPr>
          <w:rFonts w:cstheme="minorHAnsi"/>
        </w:rPr>
        <w:t>ca</w:t>
      </w:r>
      <w:r w:rsidR="00204108">
        <w:rPr>
          <w:rFonts w:cstheme="minorHAnsi"/>
        </w:rPr>
        <w:t>binā</w:t>
      </w:r>
      <w:proofErr w:type="spellEnd"/>
      <w:r w:rsidR="00204108">
        <w:rPr>
          <w:rFonts w:cstheme="minorHAnsi"/>
        </w:rPr>
        <w:t xml:space="preserve"> </w:t>
      </w:r>
      <w:r w:rsidRPr="00BB759E">
        <w:rPr>
          <w:rFonts w:cstheme="minorHAnsi"/>
        </w:rPr>
        <w:t>duș de 80X180</w:t>
      </w:r>
      <w:r w:rsidR="00173A25">
        <w:rPr>
          <w:rFonts w:cstheme="minorHAnsi"/>
        </w:rPr>
        <w:t xml:space="preserve"> cm</w:t>
      </w:r>
      <w:r w:rsidRPr="00BB759E">
        <w:rPr>
          <w:rFonts w:cstheme="minorHAnsi"/>
        </w:rPr>
        <w:t xml:space="preserve"> sau 80x120</w:t>
      </w:r>
      <w:r w:rsidR="00173A25">
        <w:rPr>
          <w:rFonts w:cstheme="minorHAnsi"/>
        </w:rPr>
        <w:t xml:space="preserve"> cm,</w:t>
      </w:r>
      <w:r w:rsidRPr="00BB759E">
        <w:rPr>
          <w:rFonts w:cstheme="minorHAnsi"/>
        </w:rPr>
        <w:t xml:space="preserve"> sau de dimensiuni compatibile cu proiectul de execuție, cu set bară duș dotată cu baterie </w:t>
      </w:r>
      <w:proofErr w:type="spellStart"/>
      <w:r w:rsidRPr="00BB759E">
        <w:rPr>
          <w:rFonts w:cstheme="minorHAnsi"/>
        </w:rPr>
        <w:t>monocomandă</w:t>
      </w:r>
      <w:proofErr w:type="spellEnd"/>
      <w:r w:rsidRPr="00BB759E">
        <w:rPr>
          <w:rFonts w:cstheme="minorHAnsi"/>
        </w:rPr>
        <w:t xml:space="preserve"> și pară duș </w:t>
      </w:r>
      <w:proofErr w:type="spellStart"/>
      <w:r w:rsidR="00D70664">
        <w:rPr>
          <w:rFonts w:cstheme="minorHAnsi"/>
        </w:rPr>
        <w:t>flexibilā</w:t>
      </w:r>
      <w:proofErr w:type="spellEnd"/>
      <w:r w:rsidRPr="00BB759E">
        <w:rPr>
          <w:rFonts w:cstheme="minorHAnsi"/>
        </w:rPr>
        <w:t xml:space="preserve">. </w:t>
      </w:r>
    </w:p>
    <w:p w14:paraId="76BA5950" w14:textId="77777777" w:rsidR="00197BAC" w:rsidRPr="00265ACB" w:rsidRDefault="00197BAC" w:rsidP="00AC10CF">
      <w:pPr>
        <w:ind w:left="-5"/>
        <w:jc w:val="both"/>
        <w:rPr>
          <w:rFonts w:cstheme="minorHAnsi"/>
        </w:rPr>
      </w:pPr>
      <w:r w:rsidRPr="00265ACB">
        <w:rPr>
          <w:rFonts w:cstheme="minorHAnsi"/>
          <w:u w:val="single" w:color="000000"/>
        </w:rPr>
        <w:t>Bucătării:</w:t>
      </w:r>
    </w:p>
    <w:p w14:paraId="6601509D" w14:textId="67BD0BC9" w:rsidR="00197BAC" w:rsidRDefault="00265ACB" w:rsidP="00AC10CF">
      <w:pPr>
        <w:pStyle w:val="ListParagraph"/>
        <w:numPr>
          <w:ilvl w:val="0"/>
          <w:numId w:val="3"/>
        </w:numPr>
        <w:ind w:right="-1"/>
        <w:jc w:val="both"/>
        <w:rPr>
          <w:rFonts w:cstheme="minorHAnsi"/>
        </w:rPr>
      </w:pPr>
      <w:r>
        <w:rPr>
          <w:rFonts w:cstheme="minorHAnsi"/>
        </w:rPr>
        <w:t xml:space="preserve"> </w:t>
      </w:r>
      <w:r w:rsidR="00204108">
        <w:rPr>
          <w:rFonts w:cstheme="minorHAnsi"/>
        </w:rPr>
        <w:t>r</w:t>
      </w:r>
      <w:r w:rsidR="00197BAC" w:rsidRPr="00BB759E">
        <w:rPr>
          <w:rFonts w:cstheme="minorHAnsi"/>
        </w:rPr>
        <w:t xml:space="preserve">acordurile chiuvetă </w:t>
      </w:r>
      <w:r w:rsidR="00197BAC">
        <w:rPr>
          <w:rFonts w:cstheme="minorHAnsi"/>
        </w:rPr>
        <w:t xml:space="preserve">apă caldă, rece și </w:t>
      </w:r>
      <w:proofErr w:type="spellStart"/>
      <w:r w:rsidR="00197BAC">
        <w:rPr>
          <w:rFonts w:cstheme="minorHAnsi"/>
        </w:rPr>
        <w:t>scuregere</w:t>
      </w:r>
      <w:proofErr w:type="spellEnd"/>
      <w:r w:rsidR="00197BAC">
        <w:rPr>
          <w:rFonts w:cstheme="minorHAnsi"/>
        </w:rPr>
        <w:t xml:space="preserve">; </w:t>
      </w:r>
    </w:p>
    <w:p w14:paraId="5B7E8F4B" w14:textId="5A7A1F6B" w:rsidR="00197BAC" w:rsidRDefault="00265ACB" w:rsidP="00AC10CF">
      <w:pPr>
        <w:pStyle w:val="ListParagraph"/>
        <w:numPr>
          <w:ilvl w:val="0"/>
          <w:numId w:val="3"/>
        </w:numPr>
        <w:ind w:right="-1"/>
        <w:jc w:val="both"/>
        <w:rPr>
          <w:rFonts w:cstheme="minorHAnsi"/>
        </w:rPr>
      </w:pPr>
      <w:r>
        <w:rPr>
          <w:rFonts w:cstheme="minorHAnsi"/>
        </w:rPr>
        <w:t xml:space="preserve"> </w:t>
      </w:r>
      <w:r w:rsidR="00197BAC" w:rsidRPr="00BB759E">
        <w:rPr>
          <w:rFonts w:cstheme="minorHAnsi"/>
        </w:rPr>
        <w:t xml:space="preserve">racord și scurgere mașină de spălat. </w:t>
      </w:r>
    </w:p>
    <w:p w14:paraId="70C3C4ED" w14:textId="77777777" w:rsidR="00CE5A9D" w:rsidRPr="00D70664" w:rsidRDefault="00CE5A9D" w:rsidP="00AC10CF">
      <w:pPr>
        <w:ind w:left="730" w:right="-1"/>
        <w:jc w:val="both"/>
        <w:rPr>
          <w:rFonts w:cstheme="minorHAnsi"/>
        </w:rPr>
      </w:pPr>
    </w:p>
    <w:p w14:paraId="5582887C" w14:textId="2AEDF680" w:rsidR="00A92834" w:rsidRPr="00CE5A9D" w:rsidRDefault="00A92834" w:rsidP="00AC10CF">
      <w:pPr>
        <w:jc w:val="both"/>
      </w:pPr>
    </w:p>
    <w:sectPr w:rsidR="00A92834" w:rsidRPr="00CE5A9D" w:rsidSect="00757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C75"/>
    <w:multiLevelType w:val="hybridMultilevel"/>
    <w:tmpl w:val="4E8817A0"/>
    <w:lvl w:ilvl="0" w:tplc="9A565C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0A804">
      <w:start w:val="1"/>
      <w:numFmt w:val="bullet"/>
      <w:lvlText w:val="o"/>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CC686A">
      <w:start w:val="1"/>
      <w:numFmt w:val="bullet"/>
      <w:lvlText w:val="▪"/>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EA6F7E">
      <w:start w:val="1"/>
      <w:numFmt w:val="bullet"/>
      <w:lvlText w:val="•"/>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E7020">
      <w:start w:val="1"/>
      <w:numFmt w:val="bullet"/>
      <w:lvlText w:val="o"/>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F06720">
      <w:start w:val="1"/>
      <w:numFmt w:val="bullet"/>
      <w:lvlText w:val="▪"/>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C77D2">
      <w:start w:val="1"/>
      <w:numFmt w:val="bullet"/>
      <w:lvlText w:val="•"/>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160C5C">
      <w:start w:val="1"/>
      <w:numFmt w:val="bullet"/>
      <w:lvlText w:val="o"/>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6010C0">
      <w:start w:val="1"/>
      <w:numFmt w:val="bullet"/>
      <w:lvlText w:val="▪"/>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AA2A03"/>
    <w:multiLevelType w:val="hybridMultilevel"/>
    <w:tmpl w:val="DFAA1BD2"/>
    <w:lvl w:ilvl="0" w:tplc="19C4D7B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04444C"/>
    <w:multiLevelType w:val="hybridMultilevel"/>
    <w:tmpl w:val="B36CB2F4"/>
    <w:lvl w:ilvl="0" w:tplc="19C4D7BA">
      <w:numFmt w:val="bullet"/>
      <w:lvlText w:val="·"/>
      <w:lvlJc w:val="left"/>
      <w:pPr>
        <w:ind w:left="643" w:hanging="360"/>
      </w:pPr>
      <w:rPr>
        <w:rFonts w:ascii="Calibri" w:eastAsiaTheme="minorHAnsi" w:hAnsi="Calibri" w:cstheme="minorBidi"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4D"/>
    <w:rsid w:val="00173A25"/>
    <w:rsid w:val="001926CD"/>
    <w:rsid w:val="00193EC9"/>
    <w:rsid w:val="00197BAC"/>
    <w:rsid w:val="001B286B"/>
    <w:rsid w:val="00204108"/>
    <w:rsid w:val="00265ACB"/>
    <w:rsid w:val="002E1619"/>
    <w:rsid w:val="00362685"/>
    <w:rsid w:val="004856D4"/>
    <w:rsid w:val="004F512C"/>
    <w:rsid w:val="006F32F0"/>
    <w:rsid w:val="0075764C"/>
    <w:rsid w:val="007A02AD"/>
    <w:rsid w:val="007C5375"/>
    <w:rsid w:val="008703AB"/>
    <w:rsid w:val="00A10BEF"/>
    <w:rsid w:val="00A92834"/>
    <w:rsid w:val="00AC10CF"/>
    <w:rsid w:val="00B17951"/>
    <w:rsid w:val="00BD0B37"/>
    <w:rsid w:val="00BE3786"/>
    <w:rsid w:val="00C2464D"/>
    <w:rsid w:val="00C43689"/>
    <w:rsid w:val="00CE5A9D"/>
    <w:rsid w:val="00D70664"/>
    <w:rsid w:val="00DA689C"/>
    <w:rsid w:val="00E240C7"/>
    <w:rsid w:val="00E279C3"/>
    <w:rsid w:val="00EF1DB7"/>
    <w:rsid w:val="00FC0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3A85"/>
  <w15:chartTrackingRefBased/>
  <w15:docId w15:val="{7010C82B-FA0F-9945-9411-1BBE95FD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2019-09-13T07:37:00Z</cp:lastPrinted>
  <dcterms:created xsi:type="dcterms:W3CDTF">2019-09-13T07:40:00Z</dcterms:created>
  <dcterms:modified xsi:type="dcterms:W3CDTF">2019-09-13T07:40:00Z</dcterms:modified>
</cp:coreProperties>
</file>